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201A9" w14:textId="0A29118C" w:rsidR="00AD3C73" w:rsidRPr="00F86080" w:rsidRDefault="005C7687" w:rsidP="00AD3C73">
      <w:pPr>
        <w:spacing w:line="480" w:lineRule="auto"/>
        <w:rPr>
          <w:b/>
          <w:bCs/>
          <w:sz w:val="28"/>
          <w:szCs w:val="28"/>
          <w:rtl/>
        </w:rPr>
      </w:pPr>
      <w:r w:rsidRPr="00FE239C">
        <w:rPr>
          <w:b/>
          <w:bCs/>
          <w:sz w:val="36"/>
          <w:szCs w:val="36"/>
          <w:u w:val="single"/>
          <w:rtl/>
        </w:rPr>
        <w:t>מדברים גברים</w:t>
      </w:r>
      <w:r w:rsidRPr="00FE239C">
        <w:rPr>
          <w:rFonts w:hint="cs"/>
          <w:b/>
          <w:bCs/>
          <w:sz w:val="36"/>
          <w:szCs w:val="36"/>
          <w:u w:val="single"/>
          <w:rtl/>
        </w:rPr>
        <w:t xml:space="preserve"> - </w:t>
      </w:r>
      <w:r w:rsidR="00AD3C73" w:rsidRPr="00AD3C73">
        <w:rPr>
          <w:b/>
          <w:bCs/>
          <w:sz w:val="28"/>
          <w:szCs w:val="28"/>
          <w:u w:val="single"/>
          <w:rtl/>
        </w:rPr>
        <w:t>הכשרה ייחודית לייצוג מותאם לגברים</w:t>
      </w:r>
    </w:p>
    <w:p w14:paraId="365F03F4" w14:textId="6492CD19" w:rsidR="00F86080" w:rsidRPr="00AD3C73" w:rsidRDefault="00F86080" w:rsidP="00F86080">
      <w:pPr>
        <w:spacing w:line="480" w:lineRule="auto"/>
        <w:rPr>
          <w:b/>
          <w:bCs/>
          <w:sz w:val="28"/>
          <w:szCs w:val="28"/>
          <w:rtl/>
        </w:rPr>
      </w:pPr>
      <w:r w:rsidRPr="00AD3C73">
        <w:rPr>
          <w:b/>
          <w:bCs/>
          <w:sz w:val="28"/>
          <w:szCs w:val="28"/>
          <w:rtl/>
        </w:rPr>
        <w:t>בשיתוף ויצ"ו, הסיוע המשפטי ולשכת עורכי הדין</w:t>
      </w:r>
    </w:p>
    <w:p w14:paraId="3714C945" w14:textId="77777777" w:rsidR="005C7687" w:rsidRDefault="005C7687" w:rsidP="005C7687">
      <w:pPr>
        <w:spacing w:line="480" w:lineRule="auto"/>
        <w:rPr>
          <w:rFonts w:cs="Arial"/>
          <w:sz w:val="28"/>
          <w:szCs w:val="28"/>
          <w:rtl/>
        </w:rPr>
      </w:pPr>
      <w:r w:rsidRPr="003A4A19">
        <w:rPr>
          <w:rFonts w:cs="Arial"/>
          <w:sz w:val="28"/>
          <w:szCs w:val="28"/>
          <w:rtl/>
        </w:rPr>
        <w:t xml:space="preserve">3 מפגשים </w:t>
      </w:r>
      <w:r>
        <w:rPr>
          <w:rFonts w:cs="Arial" w:hint="cs"/>
          <w:sz w:val="28"/>
          <w:szCs w:val="28"/>
          <w:rtl/>
        </w:rPr>
        <w:t xml:space="preserve">| </w:t>
      </w:r>
      <w:r w:rsidRPr="003A4A19">
        <w:rPr>
          <w:rFonts w:cs="Arial"/>
          <w:sz w:val="28"/>
          <w:szCs w:val="28"/>
          <w:rtl/>
        </w:rPr>
        <w:t xml:space="preserve">ימי ראשון </w:t>
      </w:r>
      <w:r>
        <w:rPr>
          <w:rFonts w:hint="cs"/>
          <w:sz w:val="28"/>
          <w:szCs w:val="28"/>
          <w:rtl/>
        </w:rPr>
        <w:t xml:space="preserve">| </w:t>
      </w:r>
      <w:r w:rsidRPr="003A4A19">
        <w:rPr>
          <w:rFonts w:cs="Arial"/>
          <w:sz w:val="28"/>
          <w:szCs w:val="28"/>
          <w:rtl/>
        </w:rPr>
        <w:t xml:space="preserve">20:00-16:00 </w:t>
      </w:r>
    </w:p>
    <w:p w14:paraId="72927587" w14:textId="6ED31C7C" w:rsidR="005C7687" w:rsidRPr="003A4A19" w:rsidRDefault="005C7687" w:rsidP="005C7687">
      <w:pPr>
        <w:spacing w:line="480" w:lineRule="auto"/>
        <w:rPr>
          <w:sz w:val="28"/>
          <w:szCs w:val="28"/>
          <w:rtl/>
        </w:rPr>
      </w:pPr>
      <w:r w:rsidRPr="003A4A19">
        <w:rPr>
          <w:rFonts w:cs="Arial"/>
          <w:sz w:val="28"/>
          <w:szCs w:val="28"/>
          <w:rtl/>
        </w:rPr>
        <w:t xml:space="preserve">03.07.24 | 26.06.24 | 19.06.24 </w:t>
      </w:r>
      <w:r>
        <w:rPr>
          <w:rFonts w:hint="cs"/>
          <w:sz w:val="28"/>
          <w:szCs w:val="28"/>
          <w:rtl/>
        </w:rPr>
        <w:t>ימי רביעי</w:t>
      </w:r>
    </w:p>
    <w:p w14:paraId="77B3B4D3" w14:textId="77777777" w:rsidR="005C7687" w:rsidRPr="003A4A19" w:rsidRDefault="005C7687" w:rsidP="005C7687">
      <w:pPr>
        <w:spacing w:line="480" w:lineRule="auto"/>
        <w:rPr>
          <w:sz w:val="28"/>
          <w:szCs w:val="28"/>
          <w:rtl/>
        </w:rPr>
      </w:pPr>
      <w:r w:rsidRPr="003A4A19">
        <w:rPr>
          <w:rFonts w:cs="Arial"/>
          <w:sz w:val="28"/>
          <w:szCs w:val="28"/>
          <w:rtl/>
        </w:rPr>
        <w:t>בית הפרקליט רח' שופן 1 ירושלים</w:t>
      </w:r>
    </w:p>
    <w:p w14:paraId="442CFB5D" w14:textId="77777777" w:rsidR="005C7687" w:rsidRPr="003A4A19" w:rsidRDefault="005C7687" w:rsidP="005C7687">
      <w:pPr>
        <w:spacing w:line="480" w:lineRule="auto"/>
        <w:rPr>
          <w:sz w:val="28"/>
          <w:szCs w:val="28"/>
          <w:rtl/>
        </w:rPr>
      </w:pPr>
      <w:r w:rsidRPr="003A4A19">
        <w:rPr>
          <w:rFonts w:cs="Arial"/>
          <w:sz w:val="28"/>
          <w:szCs w:val="28"/>
          <w:rtl/>
        </w:rPr>
        <w:t xml:space="preserve">₪ 300 </w:t>
      </w:r>
    </w:p>
    <w:p w14:paraId="0CB3EA3E" w14:textId="77777777" w:rsidR="005C7687" w:rsidRPr="003A4A19" w:rsidRDefault="005C7687" w:rsidP="005C7687">
      <w:pPr>
        <w:spacing w:line="480" w:lineRule="auto"/>
        <w:rPr>
          <w:sz w:val="28"/>
          <w:szCs w:val="28"/>
          <w:rtl/>
        </w:rPr>
      </w:pPr>
      <w:r w:rsidRPr="003A4A19">
        <w:rPr>
          <w:rFonts w:cs="Arial"/>
          <w:sz w:val="28"/>
          <w:szCs w:val="28"/>
          <w:rtl/>
        </w:rPr>
        <w:t xml:space="preserve">קבלת תעודה בתום המפגשים </w:t>
      </w:r>
    </w:p>
    <w:p w14:paraId="6D2DFCA0" w14:textId="77777777" w:rsidR="005C7687" w:rsidRPr="003A4A19" w:rsidRDefault="005C7687" w:rsidP="005C7687">
      <w:pPr>
        <w:spacing w:line="480" w:lineRule="auto"/>
        <w:rPr>
          <w:sz w:val="28"/>
          <w:szCs w:val="28"/>
          <w:rtl/>
        </w:rPr>
      </w:pPr>
    </w:p>
    <w:p w14:paraId="1841777F" w14:textId="77777777" w:rsidR="005C7687" w:rsidRDefault="005C7687" w:rsidP="005C7687">
      <w:pPr>
        <w:spacing w:line="480" w:lineRule="auto"/>
        <w:rPr>
          <w:sz w:val="28"/>
          <w:szCs w:val="28"/>
          <w:rtl/>
        </w:rPr>
      </w:pPr>
      <w:r w:rsidRPr="003A4A19">
        <w:rPr>
          <w:rFonts w:cs="Arial"/>
          <w:sz w:val="28"/>
          <w:szCs w:val="28"/>
          <w:rtl/>
        </w:rPr>
        <w:t xml:space="preserve"> להרשמה לחצו כאן &gt;&gt;</w:t>
      </w:r>
    </w:p>
    <w:p w14:paraId="2291EFDF" w14:textId="77777777" w:rsidR="005C7687" w:rsidRDefault="005C7687" w:rsidP="005C7687">
      <w:pPr>
        <w:spacing w:line="480" w:lineRule="auto"/>
        <w:rPr>
          <w:sz w:val="28"/>
          <w:szCs w:val="28"/>
          <w:rtl/>
        </w:rPr>
      </w:pPr>
    </w:p>
    <w:p w14:paraId="53AC0258" w14:textId="77777777" w:rsidR="005C7687" w:rsidRDefault="005C7687" w:rsidP="005C7687">
      <w:pPr>
        <w:spacing w:line="480" w:lineRule="auto"/>
        <w:rPr>
          <w:sz w:val="28"/>
          <w:szCs w:val="28"/>
          <w:rtl/>
        </w:rPr>
      </w:pPr>
    </w:p>
    <w:p w14:paraId="08E2DCFD" w14:textId="77777777" w:rsidR="005C7687" w:rsidRDefault="005C7687" w:rsidP="005C7687">
      <w:pPr>
        <w:spacing w:line="480" w:lineRule="auto"/>
        <w:rPr>
          <w:sz w:val="28"/>
          <w:szCs w:val="28"/>
          <w:rtl/>
        </w:rPr>
      </w:pPr>
    </w:p>
    <w:p w14:paraId="0244826C" w14:textId="77777777" w:rsidR="005C7687" w:rsidRDefault="005C7687" w:rsidP="005C7687">
      <w:pPr>
        <w:spacing w:line="480" w:lineRule="auto"/>
        <w:rPr>
          <w:sz w:val="28"/>
          <w:szCs w:val="28"/>
          <w:rtl/>
        </w:rPr>
      </w:pPr>
    </w:p>
    <w:p w14:paraId="194C18AB" w14:textId="77777777" w:rsidR="005C7687" w:rsidRDefault="005C7687" w:rsidP="005C7687">
      <w:pPr>
        <w:spacing w:line="480" w:lineRule="auto"/>
        <w:rPr>
          <w:sz w:val="28"/>
          <w:szCs w:val="28"/>
          <w:rtl/>
        </w:rPr>
      </w:pPr>
    </w:p>
    <w:p w14:paraId="175B0AC7" w14:textId="77777777" w:rsidR="005C7687" w:rsidRDefault="005C7687" w:rsidP="005C7687">
      <w:pPr>
        <w:spacing w:line="480" w:lineRule="auto"/>
        <w:rPr>
          <w:sz w:val="28"/>
          <w:szCs w:val="28"/>
          <w:rtl/>
        </w:rPr>
      </w:pPr>
    </w:p>
    <w:p w14:paraId="65A52DD4" w14:textId="77777777" w:rsidR="00AD3C73" w:rsidRDefault="00AD3C73" w:rsidP="005C7687">
      <w:pPr>
        <w:spacing w:line="480" w:lineRule="auto"/>
        <w:rPr>
          <w:sz w:val="28"/>
          <w:szCs w:val="28"/>
          <w:rtl/>
        </w:rPr>
      </w:pPr>
    </w:p>
    <w:p w14:paraId="3F251212" w14:textId="77777777" w:rsidR="00F86080" w:rsidRPr="00F86080" w:rsidRDefault="00F86080" w:rsidP="00F86080">
      <w:pPr>
        <w:spacing w:line="480" w:lineRule="auto"/>
        <w:rPr>
          <w:sz w:val="28"/>
          <w:szCs w:val="28"/>
          <w:rtl/>
        </w:rPr>
      </w:pPr>
      <w:r w:rsidRPr="00F86080">
        <w:rPr>
          <w:sz w:val="28"/>
          <w:szCs w:val="28"/>
          <w:rtl/>
        </w:rPr>
        <w:lastRenderedPageBreak/>
        <w:t xml:space="preserve">עורכי דין רבים נפגשים במהלך הליך הייצוג המשפטי עם סוגיות של אלימות במשפחה, המשפיעות על ההליך המשפטי, מייצרות לעיתים שיח אגרסיבי ופוגעני, שלא רק שלא תורם להליך הייצוג, אלא עלול לפגוע בו. </w:t>
      </w:r>
    </w:p>
    <w:p w14:paraId="0C331269" w14:textId="77777777" w:rsidR="00F86080" w:rsidRPr="00F86080" w:rsidRDefault="00F86080" w:rsidP="00F86080">
      <w:pPr>
        <w:spacing w:line="480" w:lineRule="auto"/>
        <w:rPr>
          <w:sz w:val="28"/>
          <w:szCs w:val="28"/>
          <w:rtl/>
        </w:rPr>
      </w:pPr>
      <w:r w:rsidRPr="00F86080">
        <w:rPr>
          <w:sz w:val="28"/>
          <w:szCs w:val="28"/>
          <w:rtl/>
        </w:rPr>
        <w:t>המחירים של אלימות במשפחה הם כלכליים וחברתיים, בתוך הבית ומחוצה לו, והשפעתם נרחבת גם במעגלים שאינם קשורים לאלימות באופן ישיר- בריאותית, פיזית ונפשית, ומתוך כך משפיעה גם על אבדן ימי עבודה, תפקוד בעבודה, מערכת החינוך ועל קשרים חברתיים בכלל. השפעות האלימות במשפחה ברורות בהקשר הזוגי והמשפחתי, ולצערנו לעיתים אנו נחשפים גם למקרי קיצון של פגיעה ממשית בגוף ובנפש.</w:t>
      </w:r>
    </w:p>
    <w:p w14:paraId="1E55FFC4" w14:textId="77777777" w:rsidR="00F86080" w:rsidRPr="00F86080" w:rsidRDefault="00F86080" w:rsidP="00F86080">
      <w:pPr>
        <w:spacing w:line="480" w:lineRule="auto"/>
        <w:rPr>
          <w:sz w:val="28"/>
          <w:szCs w:val="28"/>
          <w:rtl/>
        </w:rPr>
      </w:pPr>
      <w:r w:rsidRPr="00F86080">
        <w:rPr>
          <w:sz w:val="28"/>
          <w:szCs w:val="28"/>
          <w:rtl/>
        </w:rPr>
        <w:t xml:space="preserve">כיום, קיימת תמונה מדאיגה ביותר של מענה חסר לתמיכה נפשית בגברים בכלל ובתחום האלימות בפרט. עד כה התבסס מענה הולם לנשים הנפגעות מאלימות במשפחה. המענה לגברים הוא חסר עד לא קיים, גברים, פוגעים ונפגעים כאחד, זקוקים למענה נפשי וטיפולי הולם, כחלק ממענה נרחב והכרחי לטיפול ומיגור תופעת האלימות. </w:t>
      </w:r>
    </w:p>
    <w:p w14:paraId="6441CFD4" w14:textId="77777777" w:rsidR="00F86080" w:rsidRPr="00F86080" w:rsidRDefault="00F86080" w:rsidP="00F86080">
      <w:pPr>
        <w:spacing w:line="480" w:lineRule="auto"/>
        <w:rPr>
          <w:sz w:val="28"/>
          <w:szCs w:val="28"/>
          <w:rtl/>
        </w:rPr>
      </w:pPr>
      <w:r w:rsidRPr="00F86080">
        <w:rPr>
          <w:sz w:val="28"/>
          <w:szCs w:val="28"/>
          <w:rtl/>
        </w:rPr>
        <w:t xml:space="preserve">יש לנו אחריות חברתית, חינוכית ומקצועית למיגור תופעת האלימות במשפחה באופן כללי ולטיפול בגברים בפרט. </w:t>
      </w:r>
    </w:p>
    <w:p w14:paraId="4BCED8BF" w14:textId="77777777" w:rsidR="00F86080" w:rsidRPr="00F86080" w:rsidRDefault="00F86080" w:rsidP="00F86080">
      <w:pPr>
        <w:spacing w:line="480" w:lineRule="auto"/>
        <w:rPr>
          <w:sz w:val="28"/>
          <w:szCs w:val="28"/>
          <w:rtl/>
        </w:rPr>
      </w:pPr>
      <w:r w:rsidRPr="00F86080">
        <w:rPr>
          <w:sz w:val="28"/>
          <w:szCs w:val="28"/>
          <w:rtl/>
        </w:rPr>
        <w:t xml:space="preserve">במהלך ההכשרה, נכיר את עולם הטיפול בתחום האלימות במשפחה והתפתחויות חדשניות בתחום, השפעת תחום זה על ההליך המשפטי, נדון בסוגיות משפטיות ואתיות בייצוג גברים הנמצאים במעגל האלימות ובהדגשת חשיבותו הייחודית של עורך הדין בהקשר זה, ניצור היכרות בסיסית עם עולם האלימות במשפחה ועם </w:t>
      </w:r>
      <w:r w:rsidRPr="00F86080">
        <w:rPr>
          <w:sz w:val="28"/>
          <w:szCs w:val="28"/>
          <w:rtl/>
        </w:rPr>
        <w:lastRenderedPageBreak/>
        <w:t>המצוקות השונות שחווים הגברים, וניתן כלים לעורכי הדין לייצוג משפטי מותאם ולעידודם של גברים לפנות לקבלת עזרה.</w:t>
      </w:r>
    </w:p>
    <w:p w14:paraId="0D5B505A" w14:textId="77777777" w:rsidR="00F86080" w:rsidRDefault="00F86080" w:rsidP="005C7687">
      <w:pPr>
        <w:spacing w:line="480" w:lineRule="auto"/>
        <w:rPr>
          <w:sz w:val="28"/>
          <w:szCs w:val="28"/>
          <w:rtl/>
        </w:rPr>
      </w:pPr>
    </w:p>
    <w:p w14:paraId="6B1B0E0C" w14:textId="37782CC3" w:rsidR="005C7687" w:rsidRDefault="005C7687" w:rsidP="005C7687">
      <w:pPr>
        <w:spacing w:line="480" w:lineRule="auto"/>
        <w:rPr>
          <w:sz w:val="28"/>
          <w:szCs w:val="28"/>
          <w:rtl/>
        </w:rPr>
      </w:pPr>
      <w:r>
        <w:rPr>
          <w:rFonts w:hint="cs"/>
          <w:sz w:val="28"/>
          <w:szCs w:val="28"/>
          <w:rtl/>
        </w:rPr>
        <w:t xml:space="preserve">מפגש 1 </w:t>
      </w:r>
      <w:r>
        <w:rPr>
          <w:sz w:val="28"/>
          <w:szCs w:val="28"/>
          <w:rtl/>
        </w:rPr>
        <w:t>–</w:t>
      </w:r>
      <w:r w:rsidR="00F86080">
        <w:rPr>
          <w:rFonts w:hint="cs"/>
          <w:sz w:val="28"/>
          <w:szCs w:val="28"/>
          <w:rtl/>
        </w:rPr>
        <w:t xml:space="preserve"> </w:t>
      </w:r>
      <w:r>
        <w:rPr>
          <w:rFonts w:hint="cs"/>
          <w:sz w:val="28"/>
          <w:szCs w:val="28"/>
          <w:rtl/>
        </w:rPr>
        <w:t>19.6.24</w:t>
      </w:r>
    </w:p>
    <w:p w14:paraId="07F6E111" w14:textId="6CECCDDE" w:rsidR="005C7687" w:rsidRPr="00D551B2" w:rsidRDefault="005C7687" w:rsidP="005C7687">
      <w:pPr>
        <w:spacing w:line="480" w:lineRule="auto"/>
        <w:rPr>
          <w:b/>
          <w:bCs/>
          <w:sz w:val="28"/>
          <w:szCs w:val="28"/>
          <w:rtl/>
        </w:rPr>
      </w:pPr>
      <w:r w:rsidRPr="00D551B2">
        <w:rPr>
          <w:b/>
          <w:bCs/>
          <w:sz w:val="28"/>
          <w:szCs w:val="28"/>
          <w:rtl/>
        </w:rPr>
        <w:t>אלימות במשפחה</w:t>
      </w:r>
      <w:r w:rsidR="00F86080">
        <w:rPr>
          <w:rFonts w:hint="cs"/>
          <w:b/>
          <w:bCs/>
          <w:sz w:val="28"/>
          <w:szCs w:val="28"/>
          <w:rtl/>
        </w:rPr>
        <w:t xml:space="preserve"> - יסודות</w:t>
      </w:r>
    </w:p>
    <w:p w14:paraId="55CA6E8F" w14:textId="77777777" w:rsidR="00F86080" w:rsidRPr="00F86080" w:rsidRDefault="00F86080" w:rsidP="00F86080">
      <w:pPr>
        <w:spacing w:line="480" w:lineRule="auto"/>
        <w:rPr>
          <w:sz w:val="28"/>
          <w:szCs w:val="28"/>
          <w:rtl/>
        </w:rPr>
      </w:pPr>
      <w:r w:rsidRPr="00F86080">
        <w:rPr>
          <w:sz w:val="28"/>
          <w:szCs w:val="28"/>
          <w:rtl/>
        </w:rPr>
        <w:t>מושגי יסוד, זיהוי ומסוכנות</w:t>
      </w:r>
    </w:p>
    <w:p w14:paraId="52004FB2" w14:textId="77777777" w:rsidR="00F86080" w:rsidRPr="00F86080" w:rsidRDefault="00F86080" w:rsidP="00F86080">
      <w:pPr>
        <w:spacing w:line="480" w:lineRule="auto"/>
        <w:rPr>
          <w:sz w:val="28"/>
          <w:szCs w:val="28"/>
          <w:rtl/>
        </w:rPr>
      </w:pPr>
      <w:r w:rsidRPr="00F86080">
        <w:rPr>
          <w:sz w:val="28"/>
          <w:szCs w:val="28"/>
          <w:rtl/>
        </w:rPr>
        <w:t>השפעה על ההליך המשפטי ויחסי עו"ד לקוח</w:t>
      </w:r>
    </w:p>
    <w:p w14:paraId="2A9B6821" w14:textId="70FE4125" w:rsidR="005C7687" w:rsidRDefault="00F86080" w:rsidP="00F86080">
      <w:pPr>
        <w:spacing w:line="480" w:lineRule="auto"/>
        <w:rPr>
          <w:sz w:val="28"/>
          <w:szCs w:val="28"/>
          <w:rtl/>
        </w:rPr>
      </w:pPr>
      <w:r w:rsidRPr="00F86080">
        <w:rPr>
          <w:sz w:val="28"/>
          <w:szCs w:val="28"/>
          <w:rtl/>
        </w:rPr>
        <w:t>דילמות מקצועיות</w:t>
      </w:r>
    </w:p>
    <w:p w14:paraId="504E5615" w14:textId="77777777" w:rsidR="00F86080" w:rsidRDefault="00F86080" w:rsidP="00F86080">
      <w:pPr>
        <w:spacing w:line="480" w:lineRule="auto"/>
        <w:rPr>
          <w:sz w:val="28"/>
          <w:szCs w:val="28"/>
          <w:rtl/>
        </w:rPr>
      </w:pPr>
    </w:p>
    <w:p w14:paraId="26F67110" w14:textId="185A1294" w:rsidR="005C7687" w:rsidRDefault="005C7687" w:rsidP="005C7687">
      <w:pPr>
        <w:spacing w:line="480" w:lineRule="auto"/>
        <w:rPr>
          <w:sz w:val="28"/>
          <w:szCs w:val="28"/>
          <w:rtl/>
        </w:rPr>
      </w:pPr>
      <w:r>
        <w:rPr>
          <w:rFonts w:hint="cs"/>
          <w:sz w:val="28"/>
          <w:szCs w:val="28"/>
          <w:rtl/>
        </w:rPr>
        <w:t xml:space="preserve">מפגש 2 </w:t>
      </w:r>
      <w:r>
        <w:rPr>
          <w:sz w:val="28"/>
          <w:szCs w:val="28"/>
          <w:rtl/>
        </w:rPr>
        <w:t>–</w:t>
      </w:r>
      <w:r w:rsidR="00F86080">
        <w:rPr>
          <w:rFonts w:hint="cs"/>
          <w:sz w:val="28"/>
          <w:szCs w:val="28"/>
          <w:rtl/>
        </w:rPr>
        <w:t xml:space="preserve"> </w:t>
      </w:r>
      <w:r>
        <w:rPr>
          <w:rFonts w:hint="cs"/>
          <w:sz w:val="28"/>
          <w:szCs w:val="28"/>
          <w:rtl/>
        </w:rPr>
        <w:t>26.6.24</w:t>
      </w:r>
    </w:p>
    <w:p w14:paraId="51F520E9" w14:textId="77777777" w:rsidR="00F86080" w:rsidRPr="00F86080" w:rsidRDefault="00F86080" w:rsidP="00F86080">
      <w:pPr>
        <w:spacing w:line="480" w:lineRule="auto"/>
        <w:rPr>
          <w:b/>
          <w:bCs/>
          <w:sz w:val="28"/>
          <w:szCs w:val="28"/>
          <w:rtl/>
        </w:rPr>
      </w:pPr>
      <w:r w:rsidRPr="00F86080">
        <w:rPr>
          <w:b/>
          <w:bCs/>
          <w:sz w:val="28"/>
          <w:szCs w:val="28"/>
          <w:rtl/>
        </w:rPr>
        <w:t xml:space="preserve">תפקיד </w:t>
      </w:r>
      <w:proofErr w:type="spellStart"/>
      <w:r w:rsidRPr="00F86080">
        <w:rPr>
          <w:b/>
          <w:bCs/>
          <w:sz w:val="28"/>
          <w:szCs w:val="28"/>
          <w:rtl/>
        </w:rPr>
        <w:t>העו"ד</w:t>
      </w:r>
      <w:proofErr w:type="spellEnd"/>
      <w:r w:rsidRPr="00F86080">
        <w:rPr>
          <w:b/>
          <w:bCs/>
          <w:sz w:val="28"/>
          <w:szCs w:val="28"/>
          <w:rtl/>
        </w:rPr>
        <w:t>, התנהלות בבית המשפט, עריכת דין טיפולית</w:t>
      </w:r>
    </w:p>
    <w:p w14:paraId="5B576BEC" w14:textId="77777777" w:rsidR="00F86080" w:rsidRPr="00F86080" w:rsidRDefault="00F86080" w:rsidP="00F86080">
      <w:pPr>
        <w:spacing w:line="480" w:lineRule="auto"/>
        <w:rPr>
          <w:sz w:val="28"/>
          <w:szCs w:val="28"/>
          <w:rtl/>
        </w:rPr>
      </w:pPr>
      <w:r w:rsidRPr="00F86080">
        <w:rPr>
          <w:sz w:val="28"/>
          <w:szCs w:val="28"/>
          <w:rtl/>
        </w:rPr>
        <w:t>כיצד האלימות "משתמשת" בהליך המשפטי וביחסי עו"ד לקוח</w:t>
      </w:r>
    </w:p>
    <w:p w14:paraId="43D434D8" w14:textId="77777777" w:rsidR="00F86080" w:rsidRPr="00F86080" w:rsidRDefault="00F86080" w:rsidP="00F86080">
      <w:pPr>
        <w:spacing w:line="480" w:lineRule="auto"/>
        <w:rPr>
          <w:sz w:val="28"/>
          <w:szCs w:val="28"/>
          <w:rtl/>
        </w:rPr>
      </w:pPr>
      <w:r w:rsidRPr="00F86080">
        <w:rPr>
          <w:sz w:val="28"/>
          <w:szCs w:val="28"/>
          <w:rtl/>
        </w:rPr>
        <w:t>התאמת הייצוג המשפטי במקרים של אלימות במשפחה</w:t>
      </w:r>
    </w:p>
    <w:p w14:paraId="798B7047" w14:textId="3EFC22D4" w:rsidR="005C7687" w:rsidRDefault="00F86080" w:rsidP="00F86080">
      <w:pPr>
        <w:spacing w:line="480" w:lineRule="auto"/>
        <w:rPr>
          <w:sz w:val="28"/>
          <w:szCs w:val="28"/>
          <w:rtl/>
        </w:rPr>
      </w:pPr>
      <w:r w:rsidRPr="00F86080">
        <w:rPr>
          <w:sz w:val="28"/>
          <w:szCs w:val="28"/>
          <w:rtl/>
        </w:rPr>
        <w:t xml:space="preserve">עריכת דין חברתית ועריכת דין טיפולית ותפקיד </w:t>
      </w:r>
      <w:proofErr w:type="spellStart"/>
      <w:r w:rsidRPr="00F86080">
        <w:rPr>
          <w:sz w:val="28"/>
          <w:szCs w:val="28"/>
          <w:rtl/>
        </w:rPr>
        <w:t>העו"ד</w:t>
      </w:r>
      <w:proofErr w:type="spellEnd"/>
    </w:p>
    <w:p w14:paraId="642C1A8F" w14:textId="77777777" w:rsidR="005C7687" w:rsidRPr="00C0056B" w:rsidRDefault="005C7687" w:rsidP="005C7687">
      <w:pPr>
        <w:spacing w:line="480" w:lineRule="auto"/>
        <w:rPr>
          <w:sz w:val="28"/>
          <w:szCs w:val="28"/>
          <w:rtl/>
        </w:rPr>
      </w:pPr>
    </w:p>
    <w:p w14:paraId="0B03C6AE" w14:textId="3FFE85A1" w:rsidR="005C7687" w:rsidRDefault="005C7687" w:rsidP="005C7687">
      <w:pPr>
        <w:spacing w:line="480" w:lineRule="auto"/>
        <w:rPr>
          <w:sz w:val="28"/>
          <w:szCs w:val="28"/>
          <w:rtl/>
        </w:rPr>
      </w:pPr>
      <w:r>
        <w:rPr>
          <w:rFonts w:hint="cs"/>
          <w:sz w:val="28"/>
          <w:szCs w:val="28"/>
          <w:rtl/>
        </w:rPr>
        <w:t xml:space="preserve">מפגש 3 </w:t>
      </w:r>
      <w:r>
        <w:rPr>
          <w:sz w:val="28"/>
          <w:szCs w:val="28"/>
          <w:rtl/>
        </w:rPr>
        <w:t>–</w:t>
      </w:r>
      <w:r>
        <w:rPr>
          <w:rFonts w:hint="cs"/>
          <w:sz w:val="28"/>
          <w:szCs w:val="28"/>
          <w:rtl/>
        </w:rPr>
        <w:t xml:space="preserve"> 3.7.24</w:t>
      </w:r>
    </w:p>
    <w:p w14:paraId="2AE9B5D0" w14:textId="77777777" w:rsidR="005C7687" w:rsidRPr="00D551B2" w:rsidRDefault="005C7687" w:rsidP="005C7687">
      <w:pPr>
        <w:spacing w:line="480" w:lineRule="auto"/>
        <w:rPr>
          <w:b/>
          <w:bCs/>
          <w:sz w:val="28"/>
          <w:szCs w:val="28"/>
          <w:rtl/>
        </w:rPr>
      </w:pPr>
      <w:r w:rsidRPr="00D551B2">
        <w:rPr>
          <w:b/>
          <w:bCs/>
          <w:sz w:val="28"/>
          <w:szCs w:val="28"/>
          <w:rtl/>
        </w:rPr>
        <w:t>פרקטיקה, בין הליך טיפולי לייצוג משפטי</w:t>
      </w:r>
    </w:p>
    <w:p w14:paraId="2A47F993" w14:textId="77777777" w:rsidR="00F86080" w:rsidRPr="00F86080" w:rsidRDefault="00F86080" w:rsidP="00F86080">
      <w:pPr>
        <w:spacing w:line="480" w:lineRule="auto"/>
        <w:rPr>
          <w:sz w:val="28"/>
          <w:szCs w:val="28"/>
          <w:rtl/>
        </w:rPr>
      </w:pPr>
      <w:r w:rsidRPr="00F86080">
        <w:rPr>
          <w:sz w:val="28"/>
          <w:szCs w:val="28"/>
          <w:rtl/>
        </w:rPr>
        <w:t>כלים לשיח עם גברים הנמצאים במעגל האלימות- התמודדות עם התנגדות וחסמים</w:t>
      </w:r>
    </w:p>
    <w:p w14:paraId="263E4E4D" w14:textId="77777777" w:rsidR="00F86080" w:rsidRPr="00F86080" w:rsidRDefault="00F86080" w:rsidP="00F86080">
      <w:pPr>
        <w:spacing w:line="480" w:lineRule="auto"/>
        <w:rPr>
          <w:sz w:val="28"/>
          <w:szCs w:val="28"/>
          <w:rtl/>
        </w:rPr>
      </w:pPr>
      <w:r w:rsidRPr="00F86080">
        <w:rPr>
          <w:sz w:val="28"/>
          <w:szCs w:val="28"/>
          <w:rtl/>
        </w:rPr>
        <w:lastRenderedPageBreak/>
        <w:t>איפה עובר הגבול- בין תפקיד עורך הדין והצורך לערב גורמים נוספים</w:t>
      </w:r>
    </w:p>
    <w:p w14:paraId="3F4EA7E7" w14:textId="77777777" w:rsidR="00F86080" w:rsidRPr="00F86080" w:rsidRDefault="00F86080" w:rsidP="00F86080">
      <w:pPr>
        <w:spacing w:line="480" w:lineRule="auto"/>
        <w:rPr>
          <w:sz w:val="28"/>
          <w:szCs w:val="28"/>
          <w:rtl/>
        </w:rPr>
      </w:pPr>
      <w:r w:rsidRPr="00F86080">
        <w:rPr>
          <w:sz w:val="28"/>
          <w:szCs w:val="28"/>
          <w:rtl/>
        </w:rPr>
        <w:t>ויצירת מנגנון של התייעצות מקצועית</w:t>
      </w:r>
    </w:p>
    <w:p w14:paraId="151BEFC1" w14:textId="478C3125" w:rsidR="005C7687" w:rsidRDefault="00F86080" w:rsidP="00F86080">
      <w:pPr>
        <w:spacing w:line="480" w:lineRule="auto"/>
        <w:rPr>
          <w:sz w:val="28"/>
          <w:szCs w:val="28"/>
          <w:rtl/>
        </w:rPr>
      </w:pPr>
      <w:r w:rsidRPr="00F86080">
        <w:rPr>
          <w:sz w:val="28"/>
          <w:szCs w:val="28"/>
          <w:rtl/>
        </w:rPr>
        <w:t>היכרות עם אמנת השירות וחתימה על האמנה</w:t>
      </w:r>
    </w:p>
    <w:p w14:paraId="6BC988C4" w14:textId="77777777" w:rsidR="005C7687" w:rsidRDefault="005C7687" w:rsidP="005C7687">
      <w:pPr>
        <w:spacing w:line="480" w:lineRule="auto"/>
        <w:rPr>
          <w:sz w:val="28"/>
          <w:szCs w:val="28"/>
          <w:rtl/>
        </w:rPr>
      </w:pPr>
    </w:p>
    <w:p w14:paraId="2D90B640" w14:textId="77777777" w:rsidR="005C7687" w:rsidRDefault="005C7687" w:rsidP="005C7687">
      <w:pPr>
        <w:spacing w:line="480" w:lineRule="auto"/>
        <w:rPr>
          <w:sz w:val="28"/>
          <w:szCs w:val="28"/>
          <w:rtl/>
        </w:rPr>
      </w:pPr>
    </w:p>
    <w:p w14:paraId="23AC7038" w14:textId="77777777" w:rsidR="005C7687" w:rsidRDefault="005C7687" w:rsidP="005C7687">
      <w:pPr>
        <w:spacing w:line="480" w:lineRule="auto"/>
        <w:rPr>
          <w:sz w:val="28"/>
          <w:szCs w:val="28"/>
          <w:rtl/>
        </w:rPr>
      </w:pPr>
    </w:p>
    <w:p w14:paraId="2959EC50" w14:textId="77777777" w:rsidR="005C7687" w:rsidRDefault="005C7687" w:rsidP="005C7687">
      <w:pPr>
        <w:spacing w:line="480" w:lineRule="auto"/>
        <w:rPr>
          <w:sz w:val="28"/>
          <w:szCs w:val="28"/>
          <w:rtl/>
        </w:rPr>
      </w:pPr>
    </w:p>
    <w:p w14:paraId="79CB75FA" w14:textId="77777777" w:rsidR="005C7687" w:rsidRDefault="005C7687" w:rsidP="005C7687">
      <w:pPr>
        <w:spacing w:line="480" w:lineRule="auto"/>
        <w:rPr>
          <w:sz w:val="28"/>
          <w:szCs w:val="28"/>
          <w:rtl/>
        </w:rPr>
      </w:pPr>
    </w:p>
    <w:p w14:paraId="0D79EB83" w14:textId="77777777" w:rsidR="005C7687" w:rsidRDefault="005C7687" w:rsidP="005C7687">
      <w:pPr>
        <w:spacing w:line="480" w:lineRule="auto"/>
        <w:rPr>
          <w:sz w:val="28"/>
          <w:szCs w:val="28"/>
          <w:rtl/>
        </w:rPr>
      </w:pPr>
    </w:p>
    <w:p w14:paraId="194CC574" w14:textId="77777777" w:rsidR="005C7687" w:rsidRDefault="005C7687" w:rsidP="005C7687">
      <w:pPr>
        <w:spacing w:line="480" w:lineRule="auto"/>
        <w:rPr>
          <w:sz w:val="28"/>
          <w:szCs w:val="28"/>
          <w:rtl/>
        </w:rPr>
      </w:pPr>
    </w:p>
    <w:p w14:paraId="313FA3D8" w14:textId="77777777" w:rsidR="005C7687" w:rsidRDefault="005C7687" w:rsidP="005C7687">
      <w:pPr>
        <w:spacing w:line="480" w:lineRule="auto"/>
        <w:rPr>
          <w:sz w:val="28"/>
          <w:szCs w:val="28"/>
          <w:rtl/>
        </w:rPr>
      </w:pPr>
    </w:p>
    <w:p w14:paraId="717D71DA" w14:textId="77777777" w:rsidR="005C7687" w:rsidRDefault="005C7687" w:rsidP="005C7687">
      <w:pPr>
        <w:spacing w:line="480" w:lineRule="auto"/>
        <w:rPr>
          <w:sz w:val="28"/>
          <w:szCs w:val="28"/>
          <w:rtl/>
        </w:rPr>
      </w:pPr>
    </w:p>
    <w:p w14:paraId="3A3CF0C1" w14:textId="77777777" w:rsidR="0078256E" w:rsidRDefault="0078256E"/>
    <w:sectPr w:rsidR="0078256E" w:rsidSect="00A9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87"/>
    <w:rsid w:val="005C7687"/>
    <w:rsid w:val="0078256E"/>
    <w:rsid w:val="00951A3E"/>
    <w:rsid w:val="00A10856"/>
    <w:rsid w:val="00A975D0"/>
    <w:rsid w:val="00AD3C73"/>
    <w:rsid w:val="00F60CA7"/>
    <w:rsid w:val="00F86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B78"/>
  <w15:chartTrackingRefBased/>
  <w15:docId w15:val="{5885792D-B571-40BC-A01B-722C14E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362</Words>
  <Characters>1813</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3</cp:revision>
  <dcterms:created xsi:type="dcterms:W3CDTF">2024-02-20T08:30:00Z</dcterms:created>
  <dcterms:modified xsi:type="dcterms:W3CDTF">2024-05-02T11:40:00Z</dcterms:modified>
</cp:coreProperties>
</file>