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השתלמות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הפליליים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ההשתלמות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להעניק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השוטפת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להימנע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ממלכודות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להיקלע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בשוגג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מודעות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04.05.25 | 11.05.25 | 18.05.25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19:15-16:30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 </w:t>
      </w:r>
      <w:r w:rsidDel="00000000" w:rsidR="00000000" w:rsidRPr="00000000">
        <w:rPr>
          <w:rtl w:val="1"/>
        </w:rPr>
        <w:t xml:space="preserve">מפגשים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₪180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הלשכה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שופן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בשליטתנו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www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jerusalembar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לפרטים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: 02-5416317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  <w:t xml:space="preserve">04.05.25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16:30 – 17:45 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גבולות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עסקאות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ומלאכותיות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18:00 – 19:15 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יסודות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העבירות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הכלכליות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מקרקעין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11.05.25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16:30 – 17:45 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המסחריים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גולדמן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ארצי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18:00 – 19:15 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חובות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עסקי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הלקוח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קומרינר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פלד</w:t>
      </w:r>
      <w:r w:rsidDel="00000000" w:rsidR="00000000" w:rsidRPr="00000000">
        <w:rPr>
          <w:rtl w:val="1"/>
        </w:rPr>
        <w:t xml:space="preserve">| </w:t>
      </w:r>
      <w:r w:rsidDel="00000000" w:rsidR="00000000" w:rsidRPr="00000000">
        <w:rPr>
          <w:rtl w:val="1"/>
        </w:rPr>
        <w:t xml:space="preserve">ממונה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18.05.25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16:30 – 17:45 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הגנות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הפלילי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בפק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עתילה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בפרקליטות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  <w:t xml:space="preserve">18:00 – 19:15 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מייצגים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לנחקר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מחדרי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המיסים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גולדמן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ארצי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