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וחנינות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הציבורית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שנדר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ראשת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ערעורים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ייצוג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ויתמקד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המייצגים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-76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המתווה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למאפיינים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המשפחתיות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המתווים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השיקולים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  <w:t xml:space="preserve">28.11.24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  <w:t xml:space="preserve">16:00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חמישי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הפרקליט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1,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16:00 - 17:15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סנגורים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  <w:t xml:space="preserve">17:15 - 18:00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זנה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הארצית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הסנגוריה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  <w:t xml:space="preserve">18:00 - 18:15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  <w:t xml:space="preserve">18:15 - 19:30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ששון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סנגורים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