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הטמעת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דנציגר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14.01.2025  | 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  <w:r w:rsidDel="00000000" w:rsidR="00000000" w:rsidRPr="00000000">
        <w:rPr>
          <w:rtl w:val="1"/>
        </w:rPr>
        <w:t xml:space="preserve">  |  16:00 - 19:15  |  </w:t>
      </w:r>
      <w:r w:rsidDel="00000000" w:rsidR="00000000" w:rsidRPr="00000000">
        <w:rPr>
          <w:rtl w:val="1"/>
        </w:rPr>
        <w:t xml:space="preserve">רח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שופן</w:t>
      </w:r>
      <w:r w:rsidDel="00000000" w:rsidR="00000000" w:rsidRPr="00000000">
        <w:rPr>
          <w:rtl w:val="1"/>
        </w:rPr>
        <w:t xml:space="preserve"> 1,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פנינה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שנדר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ראשת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ערעורים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ייצוג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הסנגוריה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הפוגעות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בנאשמים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2018 </w:t>
      </w:r>
      <w:r w:rsidDel="00000000" w:rsidR="00000000" w:rsidRPr="00000000">
        <w:rPr>
          <w:rtl w:val="1"/>
        </w:rPr>
        <w:t xml:space="preserve">הוקמה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ותיקונן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בדימוס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פרופ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דנציגר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ולתיקונן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2019, </w:t>
      </w:r>
      <w:r w:rsidDel="00000000" w:rsidR="00000000" w:rsidRPr="00000000">
        <w:rPr>
          <w:rtl w:val="1"/>
        </w:rPr>
        <w:t xml:space="preserve">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מוטעים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2021, </w:t>
      </w:r>
      <w:r w:rsidDel="00000000" w:rsidR="00000000" w:rsidRPr="00000000">
        <w:rPr>
          <w:rtl w:val="1"/>
        </w:rPr>
        <w:t xml:space="preserve">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פורנזיות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ודו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התמקד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הראיות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ההודאה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בהודאת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16:00 - 17:30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סקירת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דנציגר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סנגוריה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חיפה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סנגוריה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ארצית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17:30 - 17:45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17:45 - 19:15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לדוגמא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סאהר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פאר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בברכה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