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-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בימי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אורון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סגנית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בזום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21.01.25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17:00 - 19:30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עלות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17:00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שוויון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? 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משתלבות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-  </w:t>
      </w:r>
      <w:r w:rsidDel="00000000" w:rsidR="00000000" w:rsidRPr="00000000">
        <w:rPr>
          <w:rtl w:val="1"/>
        </w:rPr>
        <w:t xml:space="preserve">הטמעת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בפרספקטיבה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אורון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17:20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יחסי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הרחבת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מגמות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בפסיקה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אביטן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הפסקה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18:00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משוחררים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זוגן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לתעסוקת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משוחררים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ונוטריון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18:40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אפליה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סמכויות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בשגרה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ובחרום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6 </w:t>
      </w:r>
      <w:r w:rsidDel="00000000" w:rsidR="00000000" w:rsidRPr="00000000">
        <w:rPr>
          <w:rtl w:val="1"/>
        </w:rPr>
        <w:t xml:space="preserve">לחוק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אזולאי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נציבה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והדרום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נציבות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והתעשייה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אורון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סגנית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לשיוויון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מגדרית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 02-5416317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