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באולמי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29.06.25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| 17:00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האירוע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שופטים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שופטות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אביטן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17:00 </w:t>
      </w:r>
      <w:r w:rsidDel="00000000" w:rsidR="00000000" w:rsidRPr="00000000">
        <w:rPr>
          <w:rtl w:val="1"/>
        </w:rPr>
        <w:t xml:space="preserve">התכנסות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17:15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פתיחה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הסתדרות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  <w:t xml:space="preserve">17:30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ברוינר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ישראזדה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  <w:t xml:space="preserve">17:45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באולמך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בראי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קריטנשטיין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, 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קמינצקי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  <w:t xml:space="preserve">18:15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שופטים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ורשמים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ות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אביטן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19:30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סיכום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והתנהלות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באולם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ניסוח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אפקטיביים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ותקדימים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טעויות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בדיונים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טכניקות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מנצחות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מהמותב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לגישור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איזון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ייצוג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ביה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השופטים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המלאכותית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המלאכותית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ומושכל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קמינצקי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אביטן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הסתדרות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