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ישיבת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עירונית</w:t>
      </w:r>
    </w:p>
    <w:p w:rsidR="00000000" w:rsidDel="00000000" w:rsidP="00000000" w:rsidRDefault="00000000" w:rsidRPr="00000000" w14:paraId="00000002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פתוחה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</w:p>
    <w:p w:rsidR="00000000" w:rsidDel="00000000" w:rsidP="00000000" w:rsidRDefault="00000000" w:rsidRPr="00000000" w14:paraId="00000003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27.05.25 | </w:t>
      </w:r>
      <w:r w:rsidDel="00000000" w:rsidR="00000000" w:rsidRPr="00000000">
        <w:rPr>
          <w:sz w:val="24"/>
          <w:szCs w:val="24"/>
          <w:rtl w:val="1"/>
        </w:rPr>
        <w:t xml:space="preserve">שלישי</w:t>
      </w:r>
      <w:r w:rsidDel="00000000" w:rsidR="00000000" w:rsidRPr="00000000">
        <w:rPr>
          <w:sz w:val="24"/>
          <w:szCs w:val="24"/>
          <w:rtl w:val="1"/>
        </w:rPr>
        <w:t xml:space="preserve"> | 17:00 | </w:t>
      </w:r>
      <w:r w:rsidDel="00000000" w:rsidR="00000000" w:rsidRPr="00000000">
        <w:rPr>
          <w:sz w:val="24"/>
          <w:szCs w:val="24"/>
          <w:rtl w:val="1"/>
        </w:rPr>
        <w:t xml:space="preserve">לשכת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רח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שופן</w:t>
      </w:r>
      <w:r w:rsidDel="00000000" w:rsidR="00000000" w:rsidRPr="00000000">
        <w:rPr>
          <w:sz w:val="24"/>
          <w:szCs w:val="24"/>
          <w:rtl w:val="1"/>
        </w:rPr>
        <w:t xml:space="preserve"> 1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</w:p>
    <w:p w:rsidR="00000000" w:rsidDel="00000000" w:rsidP="00000000" w:rsidRDefault="00000000" w:rsidRPr="00000000" w14:paraId="00000005">
      <w:pPr>
        <w:shd w:fill="ffffff" w:val="clear"/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עירונית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במחוז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עדיקא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מזמינים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ההתחדשות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העירונית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שתיערך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במתכונת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פתוחה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תעסוק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התקן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21 </w:t>
      </w:r>
      <w:r w:rsidDel="00000000" w:rsidR="00000000" w:rsidRPr="00000000">
        <w:rPr>
          <w:sz w:val="24"/>
          <w:szCs w:val="24"/>
          <w:rtl w:val="1"/>
        </w:rPr>
        <w:t xml:space="preserve">בפרויקטים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בינוי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הועדה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המחוזית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יעצים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דירות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אופייניות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מימון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ועוד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ינכחו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 </w:t>
      </w:r>
      <w:r w:rsidDel="00000000" w:rsidR="00000000" w:rsidRPr="00000000">
        <w:rPr>
          <w:sz w:val="24"/>
          <w:szCs w:val="24"/>
          <w:rtl w:val="1"/>
        </w:rPr>
        <w:t xml:space="preserve">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עירונית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וחברותיה</w:t>
      </w:r>
    </w:p>
    <w:p w:rsidR="00000000" w:rsidDel="00000000" w:rsidP="00000000" w:rsidRDefault="00000000" w:rsidRPr="00000000" w14:paraId="00000006">
      <w:pPr>
        <w:shd w:fill="ffffff" w:val="clear"/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למפגש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הוזמנו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השמאים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הבאים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8">
      <w:pPr>
        <w:shd w:fill="ffffff" w:val="clear"/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bidi w:val="1"/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יונתן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לוי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מקרקעין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אברהם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ויונתן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מקרקעין</w:t>
      </w:r>
      <w:r w:rsidDel="00000000" w:rsidR="00000000" w:rsidRPr="00000000">
        <w:rPr>
          <w:sz w:val="24"/>
          <w:szCs w:val="24"/>
          <w:rtl w:val="1"/>
        </w:rPr>
        <w:t xml:space="preserve">;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המחוזית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21 </w:t>
      </w:r>
      <w:r w:rsidDel="00000000" w:rsidR="00000000" w:rsidRPr="00000000">
        <w:rPr>
          <w:sz w:val="24"/>
          <w:szCs w:val="24"/>
          <w:rtl w:val="1"/>
        </w:rPr>
        <w:t xml:space="preserve">בתוכניות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בינוי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bidi w:val="1"/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קרני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גטריידה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שמוליק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וקרני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גטריידה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מקרקעין</w:t>
      </w:r>
      <w:r w:rsidDel="00000000" w:rsidR="00000000" w:rsidRPr="00000000">
        <w:rPr>
          <w:sz w:val="24"/>
          <w:szCs w:val="24"/>
          <w:rtl w:val="1"/>
        </w:rPr>
        <w:t xml:space="preserve">;  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המחוזית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21 </w:t>
      </w:r>
      <w:r w:rsidDel="00000000" w:rsidR="00000000" w:rsidRPr="00000000">
        <w:rPr>
          <w:sz w:val="24"/>
          <w:szCs w:val="24"/>
          <w:rtl w:val="1"/>
        </w:rPr>
        <w:t xml:space="preserve">בתוכניות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בינוי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איתי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דביר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שמוליק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וקרני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גטריידה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מקרקעין</w:t>
      </w:r>
      <w:r w:rsidDel="00000000" w:rsidR="00000000" w:rsidRPr="00000000">
        <w:rPr>
          <w:sz w:val="24"/>
          <w:szCs w:val="24"/>
          <w:rtl w:val="1"/>
        </w:rPr>
        <w:t xml:space="preserve">;  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המחוזית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21 </w:t>
      </w:r>
      <w:r w:rsidDel="00000000" w:rsidR="00000000" w:rsidRPr="00000000">
        <w:rPr>
          <w:sz w:val="24"/>
          <w:szCs w:val="24"/>
          <w:rtl w:val="1"/>
        </w:rPr>
        <w:t xml:space="preserve">בתוכניות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בינוי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bidi w:val="1"/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אורן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אילוז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מקרקעין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המקרקעין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משותף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לועדה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להתחדשות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עירונית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השמאים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bidi w:val="1"/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חזקיהו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העצני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מקרקעין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וכלכלן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התקינה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מועצת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המקרקעין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bidi w:val="1"/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סיטון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שמאי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מקרקעין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מתכנן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עירוני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ומשפטן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עירונית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ספקטור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מקרקעין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bidi w:val="1"/>
        <w:spacing w:line="276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קס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</w:p>
    <w:p w:rsidR="00000000" w:rsidDel="00000000" w:rsidP="00000000" w:rsidRDefault="00000000" w:rsidRPr="00000000" w14:paraId="00000012">
      <w:pPr>
        <w:bidi w:val="1"/>
        <w:spacing w:line="276" w:lineRule="auto"/>
        <w:rPr>
          <w:sz w:val="24"/>
          <w:szCs w:val="24"/>
        </w:rPr>
      </w:pPr>
      <w:bookmarkStart w:colFirst="0" w:colLast="0" w:name="_ilv3cs9w02jt" w:id="0"/>
      <w:bookmarkEnd w:id="0"/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עדיקא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התחדשות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עירונית</w:t>
      </w:r>
    </w:p>
    <w:p w:rsidR="00000000" w:rsidDel="00000000" w:rsidP="00000000" w:rsidRDefault="00000000" w:rsidRPr="00000000" w14:paraId="00000013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ייתכנו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שינויים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בתכנית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בשליטתנו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ההרשמה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תתבצע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בקישור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המחוז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www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jerusalembar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org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il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לפרטים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והתאמת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נגישות</w:t>
      </w:r>
      <w:r w:rsidDel="00000000" w:rsidR="00000000" w:rsidRPr="00000000">
        <w:rPr>
          <w:sz w:val="24"/>
          <w:szCs w:val="24"/>
          <w:rtl w:val="1"/>
        </w:rPr>
        <w:t xml:space="preserve">: 02-5416317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במייל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course</w:t>
      </w:r>
      <w:r w:rsidDel="00000000" w:rsidR="00000000" w:rsidRPr="00000000">
        <w:rPr>
          <w:sz w:val="24"/>
          <w:szCs w:val="24"/>
          <w:rtl w:val="0"/>
        </w:rPr>
        <w:t xml:space="preserve">@</w:t>
      </w:r>
      <w:r w:rsidDel="00000000" w:rsidR="00000000" w:rsidRPr="00000000">
        <w:rPr>
          <w:sz w:val="24"/>
          <w:szCs w:val="24"/>
          <w:rtl w:val="0"/>
        </w:rPr>
        <w:t xml:space="preserve">jer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bar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org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il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ט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