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כנס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וקצין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התגמולים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וקצין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התגמולים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וקצין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התגמולים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07.07.2025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| 150 ₪ |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9:00  </w:t>
      </w:r>
      <w:r w:rsidDel="00000000" w:rsidR="00000000" w:rsidRPr="00000000">
        <w:rPr>
          <w:rtl w:val="1"/>
        </w:rPr>
        <w:t xml:space="preserve">התכנסות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בוקר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  <w:t xml:space="preserve">10:00 - 10:45 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בפצועי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ברזל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ומגמות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גלעד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  <w:t xml:space="preserve">10:45 - 11:45  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נציגי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משהב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מהקהל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גלעד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גליל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גב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פישלר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קצינת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תגמולים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PTSD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היחידה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11:45 - 12:00 -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  <w:t xml:space="preserve">12:00 - 12:45 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פונרובסקי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מומחה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פסיכיאטרי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התגמולים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בשאלת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ס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  <w:t xml:space="preserve">12:45 - 13:45 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בוועדות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הערר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דהאן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השלום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13:45 - 14:30 - </w:t>
      </w:r>
      <w:r w:rsidDel="00000000" w:rsidR="00000000" w:rsidRPr="00000000">
        <w:rPr>
          <w:rtl w:val="1"/>
        </w:rPr>
        <w:t xml:space="preserve">ארוחת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צהריים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  <w:t xml:space="preserve">14:30 - 15:15 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לשמיעה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וטנטון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מומחה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  <w:t xml:space="preserve">15:15 - 16:15 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שילון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וקצין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התגמולים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נזיקין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שחר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וקצין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התגמולים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