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הסנגוריה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הפרקליטות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  <w:t xml:space="preserve">02.09.25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 xml:space="preserve">15:00-08:30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שנדר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ערעורים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הסנגוריה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אבני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ערעורים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רפ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הכהן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רפ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אקסול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גרבי</w:t>
      </w:r>
      <w:r w:rsidDel="00000000" w:rsidR="00000000" w:rsidRPr="00000000">
        <w:rPr>
          <w:rtl w:val="1"/>
        </w:rPr>
        <w:t xml:space="preserve"> |  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</w:t>
      </w:r>
      <w:r w:rsidDel="00000000" w:rsidR="00000000" w:rsidRPr="00000000">
        <w:rPr>
          <w:rtl w:val="1"/>
        </w:rPr>
        <w:t xml:space="preserve"> |  </w:t>
      </w:r>
      <w:r w:rsidDel="00000000" w:rsidR="00000000" w:rsidRPr="00000000">
        <w:rPr>
          <w:rtl w:val="1"/>
        </w:rPr>
        <w:t xml:space="preserve">הסנגוריה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  <w:t xml:space="preserve">08:30 - 09:00 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התכנסות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וכיבוד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  <w:t xml:space="preserve">9:00 - 9:30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פתיחה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פרקליטת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הסנגור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  <w:t xml:space="preserve">09:30 - 10:45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פנורמי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והתמכרויות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גב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0"/>
        </w:rPr>
        <w:t xml:space="preserve">MSW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מטפלת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במרפאת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הנוער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נטע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0"/>
        </w:rPr>
        <w:t xml:space="preserve">ICA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  <w:t xml:space="preserve">10:45 - 12:00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הפלילי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ותמורות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אבישר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פקד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ייעוץ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וחקיקה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חטיבת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החקירות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  <w:t xml:space="preserve">12:00 - 13:00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הפסקת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צהריים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וכיבוד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  <w:t xml:space="preserve">13:00 - 14:15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הבינה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מגמות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לעתיד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  <w:t xml:space="preserve">14:15 - 15:00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1"/>
        </w:rPr>
        <w:t xml:space="preserve">דילמות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והסנגור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ופרקטיות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שנדר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ראשת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ערעורים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אבני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ערעורים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שקים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