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שומרי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הרצון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15.09.25 | 16:30 - 19:00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מסלולים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בענייניו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בערב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השלכותיהן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המעניקה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אדלר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  <w:t xml:space="preserve">17:00 - 17:45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ועדכונים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ברכפלד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רכזת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אישורים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מוגבלויות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  <w:t xml:space="preserve">17:45 - 18:45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שומרים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נטלי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מופסיק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סוציאלית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ואיך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אפט</w:t>
      </w:r>
      <w:r w:rsidDel="00000000" w:rsidR="00000000" w:rsidRPr="00000000">
        <w:rPr>
          <w:rtl w:val="1"/>
        </w:rPr>
        <w:t xml:space="preserve">' –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פיקוח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סטטיסטיקות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ודוגמאות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  <w:t xml:space="preserve">18:45 - 19:00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החולה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