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סדנה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משפטית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וטכנולוגיה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שלזינגר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וטכנולוגיה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מרצות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וינברג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הראל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יזמת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ומומחית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שלס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מתמחה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מובילת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מתקיים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בזום</w:t>
      </w:r>
      <w:r w:rsidDel="00000000" w:rsidR="00000000" w:rsidRPr="00000000">
        <w:rPr>
          <w:rtl w:val="1"/>
        </w:rPr>
        <w:t xml:space="preserve"> | 70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  <w:r w:rsidDel="00000000" w:rsidR="00000000" w:rsidRPr="00000000">
        <w:rPr>
          <w:rtl w:val="1"/>
        </w:rPr>
        <w:t xml:space="preserve"> | 26.11.25 | 17:00 - 19:00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סדנת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המתקדמים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לבוגרי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וצוותי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אקסלים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וגרפים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יכולות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מתקדמות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AI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לב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וטכנולוגיה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שלזינגר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וטכנולוגיה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