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דיבייט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ושלום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פורר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05.11.25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18:00 | </w:t>
      </w:r>
      <w:r w:rsidDel="00000000" w:rsidR="00000000" w:rsidRPr="00000000">
        <w:rPr>
          <w:rtl w:val="1"/>
        </w:rPr>
        <w:t xml:space="preserve">רי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-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טאוב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הסף</w:t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אורבך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1"/>
        </w:rPr>
        <w:t xml:space="preserve">היסטוריון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חזיזה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