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1"/>
        </w:rPr>
        <w:t xml:space="preserve">סוגיית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jc w:val="left"/>
        <w:rPr/>
      </w:pPr>
      <w:r w:rsidDel="00000000" w:rsidR="00000000" w:rsidRPr="00000000">
        <w:rPr>
          <w:rtl w:val="1"/>
        </w:rPr>
        <w:t xml:space="preserve">ללא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עלות</w:t>
      </w:r>
      <w:r w:rsidDel="00000000" w:rsidR="00000000" w:rsidRPr="00000000">
        <w:rPr>
          <w:rtl w:val="1"/>
        </w:rPr>
        <w:t xml:space="preserve"> | 06.11.25 | 16:00 |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הלשכה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לשפוך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כדוגמת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וסביבתה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מיעוטים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סוציואקונומיות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וריבוי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תרבויות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שיקומי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ומשפטי</w:t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יחזקאל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יחזקאל</w:t>
      </w:r>
    </w:p>
    <w:p w:rsidR="00000000" w:rsidDel="00000000" w:rsidP="00000000" w:rsidRDefault="00000000" w:rsidRPr="00000000" w14:paraId="0000000B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יחזקאל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יחזקאל</w:t>
      </w:r>
    </w:p>
    <w:p w:rsidR="00000000" w:rsidDel="00000000" w:rsidP="00000000" w:rsidRDefault="00000000" w:rsidRPr="00000000" w14:paraId="0000000E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4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סחראי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לנוער</w:t>
      </w:r>
    </w:p>
    <w:p w:rsidR="00000000" w:rsidDel="00000000" w:rsidP="00000000" w:rsidRDefault="00000000" w:rsidRPr="00000000" w14:paraId="00000017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בר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לנוער</w:t>
      </w:r>
    </w:p>
    <w:p w:rsidR="00000000" w:rsidDel="00000000" w:rsidP="00000000" w:rsidRDefault="00000000" w:rsidRPr="00000000" w14:paraId="0000001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 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  <w:t xml:space="preserve">16:00 - 16:30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התכנסות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ברכה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’</w:t>
      </w:r>
      <w:r w:rsidDel="00000000" w:rsidR="00000000" w:rsidRPr="00000000">
        <w:rPr>
          <w:rtl w:val="1"/>
        </w:rPr>
        <w:t xml:space="preserve">קס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  <w:t xml:space="preserve">16:30 - 17:00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המורכבות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מגוונות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מיעוטים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חרדים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עבריין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בסיכון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הגב</w:t>
      </w:r>
      <w:r w:rsidDel="00000000" w:rsidR="00000000" w:rsidRPr="00000000">
        <w:rPr>
          <w:rtl w:val="1"/>
        </w:rPr>
        <w:t xml:space="preserve">׳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אדלשטיין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  <w:t xml:space="preserve">17:00 - 17:30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תפקיד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מתמשכת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האפטרופא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ניסנהולץ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המשפטי</w:t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17:30 - 17:45 </w:t>
      </w: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2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left"/>
        <w:rPr/>
      </w:pPr>
      <w:r w:rsidDel="00000000" w:rsidR="00000000" w:rsidRPr="00000000">
        <w:rPr>
          <w:rtl w:val="0"/>
        </w:rPr>
        <w:t xml:space="preserve">17:45 - 18:30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הקטין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הנזקק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עבריין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באוכלוסיות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חירום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צווטקב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31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left"/>
        <w:rPr/>
      </w:pPr>
      <w:r w:rsidDel="00000000" w:rsidR="00000000" w:rsidRPr="00000000">
        <w:rPr>
          <w:rtl w:val="0"/>
        </w:rPr>
        <w:t xml:space="preserve">18:30 - 19:00</w:t>
      </w:r>
    </w:p>
    <w:p w:rsidR="00000000" w:rsidDel="00000000" w:rsidP="00000000" w:rsidRDefault="00000000" w:rsidRPr="00000000" w14:paraId="00000033">
      <w:pPr>
        <w:bidi w:val="1"/>
        <w:jc w:val="left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״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יחזקאל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