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ומשפט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| 12.01.26 | 16:00 - 19:00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והזדמנויות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תקדים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בטכנולוגיות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היומיומית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נצטייד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הביקורתית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והשגת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0"/>
        </w:rPr>
        <w:t xml:space="preserve">16:00 - 17:30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יצחקי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בפרקליטות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הצבאית</w:t>
      </w:r>
    </w:p>
    <w:p w:rsidR="00000000" w:rsidDel="00000000" w:rsidP="00000000" w:rsidRDefault="00000000" w:rsidRPr="00000000" w14:paraId="0000000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0"/>
        </w:rPr>
        <w:t xml:space="preserve">17:30 - 17:45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0"/>
        </w:rPr>
        <w:t xml:space="preserve">17:45 - 19:00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דאטה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ינובסקי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חדשנות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</w:t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1"/>
        </w:rPr>
        <w:t xml:space="preserve">ראשת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ערעורים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ייצוג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