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באולמי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נזקי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09.07.26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17:00 |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’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’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ליברמן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’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יחזקאל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’ </w:t>
      </w:r>
      <w:r w:rsidDel="00000000" w:rsidR="00000000" w:rsidRPr="00000000">
        <w:rPr>
          <w:rtl w:val="1"/>
        </w:rPr>
        <w:t xml:space="preserve">הרשם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’ </w:t>
      </w:r>
      <w:r w:rsidDel="00000000" w:rsidR="00000000" w:rsidRPr="00000000">
        <w:rPr>
          <w:rtl w:val="1"/>
        </w:rPr>
        <w:t xml:space="preserve">הרשם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צרפתי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  <w:br w:type="textWrapping"/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www.jerusalembar.org.il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  <w:br w:type="textWrapping"/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88IYXVs1IJtIzo96TtwMeTXKA==">CgMxLjA4AHIhMWhwbU5oZVVxYWh3Wll4cWRDM1NSTnBPYnFPNVhIOW9V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